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41C37" w14:textId="422E93F7" w:rsidR="00706468" w:rsidRPr="00E05E7B" w:rsidRDefault="003F1A29" w:rsidP="00706468">
      <w:pPr>
        <w:spacing w:before="240"/>
        <w:rPr>
          <w:lang w:val="it-IT"/>
        </w:rPr>
      </w:pPr>
      <w:r w:rsidRPr="00E05E7B">
        <w:rPr>
          <w:lang w:val="it-IT"/>
        </w:rPr>
        <w:t xml:space="preserve">COMUNICATO STAMPA </w:t>
      </w:r>
      <w:r w:rsidR="006C09C5">
        <w:rPr>
          <w:lang w:val="it-IT"/>
        </w:rPr>
        <w:t>1 DICEMBRE 2015</w:t>
      </w:r>
    </w:p>
    <w:p w14:paraId="69DB1FDA" w14:textId="34D523C8" w:rsidR="007A6986" w:rsidRDefault="00E63C58" w:rsidP="006939CD">
      <w:pPr>
        <w:spacing w:after="0" w:line="240" w:lineRule="auto"/>
        <w:rPr>
          <w:rFonts w:cs="Arial"/>
          <w:b/>
          <w:bCs/>
          <w:color w:val="000000"/>
        </w:rPr>
      </w:pPr>
      <w:r>
        <w:rPr>
          <w:rFonts w:cs="Arial"/>
          <w:b/>
          <w:bCs/>
          <w:color w:val="000000"/>
          <w:lang w:val="it-IT"/>
        </w:rPr>
        <w:t>ITALEAF</w:t>
      </w:r>
      <w:r w:rsidR="00A35361">
        <w:rPr>
          <w:rFonts w:cs="Arial"/>
          <w:b/>
          <w:bCs/>
          <w:color w:val="000000"/>
          <w:lang w:val="it-IT"/>
        </w:rPr>
        <w:t xml:space="preserve"> </w:t>
      </w:r>
      <w:r w:rsidR="006C09C5">
        <w:rPr>
          <w:rFonts w:cs="Arial"/>
          <w:b/>
          <w:bCs/>
          <w:color w:val="000000"/>
          <w:lang w:val="it-IT"/>
        </w:rPr>
        <w:t xml:space="preserve">SpA: </w:t>
      </w:r>
      <w:r w:rsidR="006C09C5" w:rsidRPr="006C09C5">
        <w:rPr>
          <w:rFonts w:cs="Arial"/>
          <w:b/>
          <w:bCs/>
          <w:color w:val="000000"/>
          <w:lang w:val="it-IT"/>
        </w:rPr>
        <w:t>TERNIENERGIA: perfezionata l’operazione di disinvestimento per il trasferimento delle azioni di Free Energia S.p.A. a fronte dell’acquisto di azioni proprie</w:t>
      </w:r>
    </w:p>
    <w:p w14:paraId="69E2A5A0" w14:textId="77777777" w:rsidR="002F7BC7" w:rsidRDefault="002F7BC7" w:rsidP="007A6986">
      <w:pPr>
        <w:autoSpaceDE w:val="0"/>
        <w:autoSpaceDN w:val="0"/>
        <w:spacing w:after="0" w:line="240" w:lineRule="auto"/>
        <w:jc w:val="both"/>
        <w:rPr>
          <w:rFonts w:ascii="Arial" w:hAnsi="Arial" w:cs="Arial"/>
          <w:b/>
          <w:bCs/>
          <w:sz w:val="16"/>
          <w:szCs w:val="16"/>
        </w:rPr>
      </w:pPr>
    </w:p>
    <w:p w14:paraId="55E50582" w14:textId="77777777" w:rsidR="003E0179" w:rsidRPr="003E0179" w:rsidRDefault="003E0179" w:rsidP="003E0179">
      <w:pPr>
        <w:autoSpaceDE w:val="0"/>
        <w:autoSpaceDN w:val="0"/>
        <w:spacing w:after="0" w:line="240" w:lineRule="auto"/>
        <w:jc w:val="both"/>
        <w:rPr>
          <w:rFonts w:cs="Arial"/>
          <w:color w:val="000000"/>
          <w:sz w:val="20"/>
          <w:szCs w:val="20"/>
        </w:rPr>
      </w:pPr>
      <w:r w:rsidRPr="003E0179">
        <w:rPr>
          <w:rFonts w:cs="Arial"/>
          <w:color w:val="000000"/>
          <w:sz w:val="20"/>
          <w:szCs w:val="20"/>
        </w:rPr>
        <w:t xml:space="preserve">In data 30 novembre 2015, TerniEnergia S.p.A., smart energy company attiva nei settori dell’energia da fonti rinnovabili, dell’efficienza energetica, del waste e dell’energy management, quotata sul segmento Star di Borsa Italiana e parte del Gruppo Italeaf, ha perfezionato l’operazione di disinvestimento per il trasferimento delle azioni di Free Energia S.p.A. (“Free Energia”), ricevendo quale corrispettivo le azioni di Terni Energia possedute dai soci di Free Energia. </w:t>
      </w:r>
    </w:p>
    <w:p w14:paraId="4E11325A" w14:textId="77777777" w:rsidR="003E0179" w:rsidRPr="003E0179" w:rsidRDefault="003E0179" w:rsidP="003E0179">
      <w:pPr>
        <w:autoSpaceDE w:val="0"/>
        <w:autoSpaceDN w:val="0"/>
        <w:spacing w:after="0" w:line="240" w:lineRule="auto"/>
        <w:jc w:val="both"/>
        <w:rPr>
          <w:rFonts w:cs="Arial"/>
          <w:color w:val="000000"/>
          <w:sz w:val="20"/>
          <w:szCs w:val="20"/>
        </w:rPr>
      </w:pPr>
      <w:r w:rsidRPr="003E0179">
        <w:rPr>
          <w:rFonts w:cs="Arial"/>
          <w:color w:val="000000"/>
          <w:sz w:val="20"/>
          <w:szCs w:val="20"/>
        </w:rPr>
        <w:t>In particolare, come comunicato al mercato in pari data, il 2 ottobre 2015 il Consiglio di Amministrazione di TerniEnergia ha deliberato la sottoscrizione del contratto di disinvestimento per il trasferimento delle azioni Free Energia a favore dei principali ex soci di Free Energia, in cambio di azioni TerniEnergia non quotate.</w:t>
      </w:r>
    </w:p>
    <w:p w14:paraId="04C596A4" w14:textId="77777777" w:rsidR="003E0179" w:rsidRPr="003E0179" w:rsidRDefault="003E0179" w:rsidP="003E0179">
      <w:pPr>
        <w:autoSpaceDE w:val="0"/>
        <w:autoSpaceDN w:val="0"/>
        <w:spacing w:after="0" w:line="240" w:lineRule="auto"/>
        <w:jc w:val="both"/>
        <w:rPr>
          <w:rFonts w:cs="Arial"/>
          <w:color w:val="000000"/>
          <w:sz w:val="20"/>
          <w:szCs w:val="20"/>
        </w:rPr>
      </w:pPr>
      <w:r w:rsidRPr="003E0179">
        <w:rPr>
          <w:rFonts w:cs="Arial"/>
          <w:color w:val="000000"/>
          <w:sz w:val="20"/>
          <w:szCs w:val="20"/>
        </w:rPr>
        <w:t>Successivamente all’avveramento delle due condizioni sospensive previste dal richiamato contratto di disinvestimento - ovvero il positivo consenso espresso (i) dall’assemblea degli obbligazionisti del prestito obbligazionario “TerniEnergia Euro 25,000,000.00 Notes due 2019”, tenutasi in data 16 novembre 2015 e (ii) dall’assemblea degli azionisti tenutasi in data 18 novembre 2015 - con la girata delle azioni Free Energia ed il trasferimento delle azioni TerniEnergia alla presenza dell’intermediario abilitato, in data 30 novembre 2015  si è perfezionata la predetta operazione di disinvestimento.</w:t>
      </w:r>
    </w:p>
    <w:p w14:paraId="2B30D34B" w14:textId="77777777" w:rsidR="003E0179" w:rsidRPr="003E0179" w:rsidRDefault="003E0179" w:rsidP="003E0179">
      <w:pPr>
        <w:autoSpaceDE w:val="0"/>
        <w:autoSpaceDN w:val="0"/>
        <w:spacing w:after="0" w:line="240" w:lineRule="auto"/>
        <w:jc w:val="both"/>
        <w:rPr>
          <w:rFonts w:cs="Arial"/>
          <w:color w:val="000000"/>
          <w:sz w:val="20"/>
          <w:szCs w:val="20"/>
        </w:rPr>
      </w:pPr>
      <w:r w:rsidRPr="003E0179">
        <w:rPr>
          <w:rFonts w:cs="Arial"/>
          <w:color w:val="000000"/>
          <w:sz w:val="20"/>
          <w:szCs w:val="20"/>
        </w:rPr>
        <w:t>Conseguentemente, TerniEnergia ha ceduto n. 3.315.936 azioni Free Energia (pari al 88,07% dell’intero capitale di Free Energia) a favore di BA &amp; Partners S.p.A., Sistematica S.p.A., Energetica S.p.A. e Feed S.p.A., ottenendo in cambio n. 5.845.290 azioni proprie. (pari al 13,26% del capitale di TerniEnergia).</w:t>
      </w:r>
    </w:p>
    <w:p w14:paraId="0B26A330" w14:textId="77777777" w:rsidR="003E0179" w:rsidRPr="003E0179" w:rsidRDefault="003E0179" w:rsidP="003E0179">
      <w:pPr>
        <w:autoSpaceDE w:val="0"/>
        <w:autoSpaceDN w:val="0"/>
        <w:spacing w:after="0" w:line="240" w:lineRule="auto"/>
        <w:jc w:val="both"/>
        <w:rPr>
          <w:rFonts w:cs="Arial"/>
          <w:color w:val="000000"/>
          <w:sz w:val="20"/>
          <w:szCs w:val="20"/>
        </w:rPr>
      </w:pPr>
      <w:r w:rsidRPr="003E0179">
        <w:rPr>
          <w:rFonts w:cs="Arial"/>
          <w:color w:val="000000"/>
          <w:sz w:val="20"/>
          <w:szCs w:val="20"/>
        </w:rPr>
        <w:t>Il diritto alla percezione degli utili relativi all’esercizio sociale 2015 rimarrà in capo pro quota a detti acquirenti.</w:t>
      </w:r>
    </w:p>
    <w:p w14:paraId="4D418B66" w14:textId="77777777" w:rsidR="003E0179" w:rsidRDefault="003E0179" w:rsidP="003E0179">
      <w:pPr>
        <w:autoSpaceDE w:val="0"/>
        <w:autoSpaceDN w:val="0"/>
        <w:spacing w:after="0" w:line="240" w:lineRule="auto"/>
        <w:jc w:val="both"/>
        <w:rPr>
          <w:rFonts w:cs="Arial"/>
          <w:color w:val="000000"/>
          <w:sz w:val="20"/>
          <w:szCs w:val="20"/>
        </w:rPr>
      </w:pPr>
      <w:r w:rsidRPr="003E0179">
        <w:rPr>
          <w:rFonts w:cs="Arial"/>
          <w:color w:val="000000"/>
          <w:sz w:val="20"/>
          <w:szCs w:val="20"/>
        </w:rPr>
        <w:t>Parte delle azioni proprie rivenienti dalla predetta operazione di disinvestimento sarà messa a servizio dell’operazione di acquisto delle azioni di Greenled Industry S.p.A., secondo i termini di cui al comunicato stampa del 30 novembre 2015.</w:t>
      </w:r>
    </w:p>
    <w:p w14:paraId="63A25330" w14:textId="77777777" w:rsidR="003E0179" w:rsidRDefault="003E0179" w:rsidP="003E0179">
      <w:pPr>
        <w:autoSpaceDE w:val="0"/>
        <w:autoSpaceDN w:val="0"/>
        <w:spacing w:after="0" w:line="240" w:lineRule="auto"/>
        <w:jc w:val="both"/>
        <w:rPr>
          <w:rFonts w:cs="Arial"/>
          <w:color w:val="000000"/>
          <w:sz w:val="20"/>
          <w:szCs w:val="20"/>
        </w:rPr>
      </w:pPr>
    </w:p>
    <w:p w14:paraId="502FE9BC" w14:textId="668DA93C" w:rsidR="007A6986" w:rsidRDefault="007A6986" w:rsidP="003E0179">
      <w:pPr>
        <w:autoSpaceDE w:val="0"/>
        <w:autoSpaceDN w:val="0"/>
        <w:spacing w:after="0" w:line="240" w:lineRule="auto"/>
        <w:jc w:val="both"/>
        <w:rPr>
          <w:rFonts w:ascii="Arial" w:hAnsi="Arial" w:cs="Arial"/>
          <w:sz w:val="16"/>
          <w:szCs w:val="16"/>
        </w:rPr>
      </w:pPr>
      <w:bookmarkStart w:id="0" w:name="_GoBack"/>
      <w:bookmarkEnd w:id="0"/>
      <w:r>
        <w:rPr>
          <w:rFonts w:ascii="Arial" w:hAnsi="Arial" w:cs="Arial"/>
          <w:b/>
          <w:bCs/>
          <w:sz w:val="16"/>
          <w:szCs w:val="16"/>
        </w:rPr>
        <w:t>TerniEnergia</w:t>
      </w:r>
      <w:r>
        <w:rPr>
          <w:rFonts w:ascii="Arial" w:hAnsi="Arial" w:cs="Arial"/>
          <w:sz w:val="16"/>
          <w:szCs w:val="16"/>
        </w:rPr>
        <w:t xml:space="preserve">, costituita nel mese di Settembre del 2005 e parte del Gruppo Italeaf, è la prima “smart energy company italiana” e opera nel settore delle energie da fonti rinnovabili, nell’efficienza energetica, nell’energy e nel waste management. TerniEnergia è attiva come system integrator, con un’offerta chiavi in mano di impianti fotovoltaici di taglia industriale, sia per conto terzi sia in proprio anche tramite joint venture con primari operatori nazionali. La Società intende inoltre rafforzare l’attività di vendita dell’energia prodotta da fonte solare. TerniEnergia opera nel waste manaement, nel recupero di materia ed energia e nello sviluppo e produzione di tecnologie. In particolare, la Società è attiva nel recupero pneumatici fuori uso; nel trattamento di rifiuti biodegradabili attraverso l’implementazione di biodigestori; nella produzione di energia da biomasse; nella gestione di un impianto di depurazione biologica; nel decommissioning di impianti industriali; nel recupero di metalli da demolizione e nelle bonifiche di siti industriali; nello sviluppo e produzione di apparati tecnologici. Attraverso Free Energia, il Gruppo è attivo nell’energy management, nella vendita di energia a clienti energivori, nella realizzazione di software e servizi informatici per l’energia ed è provider di servizi amministrativi, finanziari e di gestione del credito. Attraverso TerniEnergia Gas &amp; Power, il Gruppo è inoltre attivo nel mercato del gas naturale e di gas naturale liquefatto (GNL), offrendo una gamma di servizi e attività, al fine di sviluppare il business del cliente e ottenere un vantaggio competitive, fornendo le migliori condizioni di mercato e la creazione di un elevato valore aggiunto. TerniEnergia opera per lo sviluppo di impianti di efficienza energetica sia attraverso EPC sia in FTT (Finanziamento Tramite Terzi), perseguendo gli obiettivi di incremento della produzione di energia da fonti rinnovabili, del risparmio energetico e riduzione delle emissioni come stabilito dalla politica ambientale europea. </w:t>
      </w:r>
    </w:p>
    <w:p w14:paraId="5926B553" w14:textId="77777777" w:rsidR="007A6986" w:rsidRPr="007A6986" w:rsidRDefault="007A6986" w:rsidP="007A6986">
      <w:pPr>
        <w:autoSpaceDE w:val="0"/>
        <w:autoSpaceDN w:val="0"/>
        <w:spacing w:after="0" w:line="240" w:lineRule="auto"/>
        <w:jc w:val="both"/>
        <w:rPr>
          <w:rFonts w:ascii="Arial" w:hAnsi="Arial" w:cs="Arial"/>
          <w:sz w:val="16"/>
          <w:szCs w:val="16"/>
        </w:rPr>
      </w:pPr>
      <w:r>
        <w:rPr>
          <w:rFonts w:ascii="Arial" w:hAnsi="Arial" w:cs="Arial"/>
          <w:sz w:val="16"/>
          <w:szCs w:val="16"/>
        </w:rPr>
        <w:t>TerniEnergia è quotata sul segmento STAR di Borsa Italiana S.p.A..</w:t>
      </w:r>
    </w:p>
    <w:p w14:paraId="3D071DCD" w14:textId="77777777" w:rsidR="00616DE5" w:rsidRDefault="00616DE5" w:rsidP="00616DE5">
      <w:pPr>
        <w:pStyle w:val="WPNormal"/>
        <w:tabs>
          <w:tab w:val="center" w:pos="4860"/>
        </w:tabs>
        <w:jc w:val="both"/>
        <w:outlineLvl w:val="0"/>
        <w:rPr>
          <w:rFonts w:asciiTheme="minorHAnsi" w:hAnsiTheme="minorHAnsi"/>
          <w:i/>
          <w:sz w:val="20"/>
          <w:szCs w:val="20"/>
        </w:rPr>
      </w:pPr>
    </w:p>
    <w:p w14:paraId="550F037C" w14:textId="77777777" w:rsidR="004F57B0" w:rsidRPr="00185515" w:rsidRDefault="004F57B0" w:rsidP="00616DE5">
      <w:pPr>
        <w:pStyle w:val="WPNormal"/>
        <w:tabs>
          <w:tab w:val="center" w:pos="4860"/>
        </w:tabs>
        <w:jc w:val="both"/>
        <w:outlineLvl w:val="0"/>
        <w:rPr>
          <w:rFonts w:asciiTheme="minorHAnsi" w:hAnsiTheme="minorHAnsi"/>
          <w:i/>
          <w:sz w:val="20"/>
          <w:szCs w:val="20"/>
        </w:rPr>
      </w:pPr>
      <w:r w:rsidRPr="00185515">
        <w:rPr>
          <w:rFonts w:asciiTheme="minorHAnsi" w:hAnsiTheme="minorHAnsi"/>
          <w:i/>
          <w:sz w:val="20"/>
          <w:szCs w:val="20"/>
        </w:rPr>
        <w:t xml:space="preserve">Il presente comunicato stampa è disponibile anche </w:t>
      </w:r>
      <w:r w:rsidR="00214D08" w:rsidRPr="00185515">
        <w:rPr>
          <w:rFonts w:asciiTheme="minorHAnsi" w:hAnsiTheme="minorHAnsi"/>
          <w:i/>
          <w:sz w:val="20"/>
          <w:szCs w:val="20"/>
        </w:rPr>
        <w:t>sui</w:t>
      </w:r>
      <w:r w:rsidRPr="00185515">
        <w:rPr>
          <w:rFonts w:asciiTheme="minorHAnsi" w:hAnsiTheme="minorHAnsi"/>
          <w:i/>
          <w:sz w:val="20"/>
          <w:szCs w:val="20"/>
        </w:rPr>
        <w:t xml:space="preserve"> sit</w:t>
      </w:r>
      <w:r w:rsidR="00214D08" w:rsidRPr="00185515">
        <w:rPr>
          <w:rFonts w:asciiTheme="minorHAnsi" w:hAnsiTheme="minorHAnsi"/>
          <w:i/>
          <w:sz w:val="20"/>
          <w:szCs w:val="20"/>
        </w:rPr>
        <w:t>i</w:t>
      </w:r>
      <w:r w:rsidRPr="00185515">
        <w:rPr>
          <w:rFonts w:asciiTheme="minorHAnsi" w:hAnsiTheme="minorHAnsi"/>
          <w:i/>
          <w:sz w:val="20"/>
          <w:szCs w:val="20"/>
        </w:rPr>
        <w:t xml:space="preserve"> internet dell</w:t>
      </w:r>
      <w:r w:rsidR="00214D08" w:rsidRPr="00185515">
        <w:rPr>
          <w:rFonts w:asciiTheme="minorHAnsi" w:hAnsiTheme="minorHAnsi"/>
          <w:i/>
          <w:sz w:val="20"/>
          <w:szCs w:val="20"/>
        </w:rPr>
        <w:t>e</w:t>
      </w:r>
      <w:r w:rsidRPr="00185515">
        <w:rPr>
          <w:rFonts w:asciiTheme="minorHAnsi" w:hAnsiTheme="minorHAnsi"/>
          <w:i/>
          <w:sz w:val="20"/>
          <w:szCs w:val="20"/>
        </w:rPr>
        <w:t xml:space="preserve"> Società</w:t>
      </w:r>
      <w:r w:rsidR="00214D08" w:rsidRPr="00185515">
        <w:rPr>
          <w:rFonts w:asciiTheme="minorHAnsi" w:hAnsiTheme="minorHAnsi"/>
          <w:i/>
          <w:sz w:val="20"/>
          <w:szCs w:val="20"/>
        </w:rPr>
        <w:t xml:space="preserve">: </w:t>
      </w:r>
      <w:hyperlink r:id="rId7" w:history="1">
        <w:r w:rsidR="00214D08" w:rsidRPr="00185515">
          <w:rPr>
            <w:rStyle w:val="Collegamentoipertestuale"/>
            <w:rFonts w:asciiTheme="minorHAnsi" w:hAnsiTheme="minorHAnsi"/>
            <w:i/>
            <w:sz w:val="20"/>
            <w:szCs w:val="20"/>
          </w:rPr>
          <w:t>www.italeaf.com</w:t>
        </w:r>
      </w:hyperlink>
      <w:r w:rsidR="00214D08" w:rsidRPr="00185515">
        <w:rPr>
          <w:rFonts w:asciiTheme="minorHAnsi" w:hAnsiTheme="minorHAnsi"/>
          <w:i/>
          <w:sz w:val="20"/>
          <w:szCs w:val="20"/>
        </w:rPr>
        <w:t xml:space="preserve"> e</w:t>
      </w:r>
      <w:r w:rsidR="00E63C58" w:rsidRPr="00185515">
        <w:rPr>
          <w:rFonts w:asciiTheme="minorHAnsi" w:hAnsiTheme="minorHAnsi"/>
          <w:i/>
          <w:sz w:val="20"/>
          <w:szCs w:val="20"/>
        </w:rPr>
        <w:t xml:space="preserve"> </w:t>
      </w:r>
      <w:hyperlink r:id="rId8" w:history="1">
        <w:r w:rsidR="00185515" w:rsidRPr="008A71AD">
          <w:rPr>
            <w:rStyle w:val="Collegamentoipertestuale"/>
            <w:rFonts w:asciiTheme="minorHAnsi" w:hAnsiTheme="minorHAnsi"/>
            <w:i/>
            <w:sz w:val="20"/>
            <w:szCs w:val="20"/>
          </w:rPr>
          <w:t>www.ternienergia.com</w:t>
        </w:r>
      </w:hyperlink>
      <w:r w:rsidR="00214D08" w:rsidRPr="00185515">
        <w:rPr>
          <w:rFonts w:asciiTheme="minorHAnsi" w:hAnsiTheme="minorHAnsi"/>
          <w:i/>
          <w:sz w:val="20"/>
          <w:szCs w:val="20"/>
        </w:rPr>
        <w:t xml:space="preserve">. </w:t>
      </w:r>
    </w:p>
    <w:p w14:paraId="3C0586DC" w14:textId="77777777" w:rsidR="004F57B0" w:rsidRDefault="004F57B0" w:rsidP="00616DE5">
      <w:pPr>
        <w:spacing w:after="0" w:line="240" w:lineRule="auto"/>
        <w:rPr>
          <w:lang w:val="it-IT"/>
        </w:rPr>
      </w:pPr>
    </w:p>
    <w:p w14:paraId="3B138575" w14:textId="77777777" w:rsidR="00616DE5" w:rsidRDefault="00616DE5" w:rsidP="00616DE5">
      <w:pPr>
        <w:autoSpaceDE w:val="0"/>
        <w:autoSpaceDN w:val="0"/>
        <w:adjustRightInd w:val="0"/>
        <w:spacing w:after="0" w:line="240" w:lineRule="auto"/>
        <w:rPr>
          <w:rFonts w:cs="Arial"/>
          <w:b/>
          <w:color w:val="000000"/>
          <w:sz w:val="20"/>
          <w:szCs w:val="20"/>
        </w:rPr>
      </w:pPr>
    </w:p>
    <w:p w14:paraId="05388F9B" w14:textId="77777777" w:rsidR="006C09C5" w:rsidRPr="00C05FA2" w:rsidRDefault="006C09C5">
      <w:pPr>
        <w:spacing w:after="160" w:line="259" w:lineRule="auto"/>
        <w:rPr>
          <w:rFonts w:cs="Arial"/>
          <w:b/>
          <w:bCs/>
          <w:color w:val="000000"/>
          <w:sz w:val="20"/>
          <w:szCs w:val="20"/>
          <w:lang w:val="it-IT"/>
        </w:rPr>
      </w:pPr>
      <w:r w:rsidRPr="00C05FA2">
        <w:rPr>
          <w:rFonts w:cs="Arial"/>
          <w:b/>
          <w:bCs/>
          <w:color w:val="000000"/>
          <w:sz w:val="20"/>
          <w:szCs w:val="20"/>
          <w:lang w:val="it-IT"/>
        </w:rPr>
        <w:br w:type="page"/>
      </w:r>
    </w:p>
    <w:p w14:paraId="76F3A3AE" w14:textId="5ACCFDFC" w:rsidR="003F1A29" w:rsidRPr="0037442B" w:rsidRDefault="003F1A29" w:rsidP="0074178D">
      <w:pPr>
        <w:spacing w:before="100" w:after="0"/>
        <w:rPr>
          <w:rFonts w:cs="Arial"/>
          <w:b/>
          <w:bCs/>
          <w:color w:val="000000"/>
          <w:sz w:val="20"/>
          <w:szCs w:val="20"/>
          <w:lang w:val="en-US"/>
        </w:rPr>
      </w:pPr>
      <w:r w:rsidRPr="0037442B">
        <w:rPr>
          <w:rFonts w:cs="Arial"/>
          <w:b/>
          <w:bCs/>
          <w:color w:val="000000"/>
          <w:sz w:val="20"/>
          <w:szCs w:val="20"/>
          <w:lang w:val="en-US"/>
        </w:rPr>
        <w:lastRenderedPageBreak/>
        <w:t>Certified Adviser</w:t>
      </w:r>
    </w:p>
    <w:p w14:paraId="7BDB43AB" w14:textId="77777777" w:rsidR="003F1A29" w:rsidRPr="002F7BC7" w:rsidRDefault="00CC7625" w:rsidP="0074178D">
      <w:pPr>
        <w:spacing w:before="100" w:after="0"/>
        <w:rPr>
          <w:rFonts w:cs="Arial"/>
          <w:bCs/>
          <w:color w:val="000000"/>
          <w:sz w:val="20"/>
          <w:szCs w:val="20"/>
          <w:lang w:val="en-US"/>
        </w:rPr>
      </w:pPr>
      <w:r w:rsidRPr="002F7BC7">
        <w:rPr>
          <w:rFonts w:cs="Arial"/>
          <w:bCs/>
          <w:color w:val="000000"/>
          <w:sz w:val="20"/>
          <w:szCs w:val="20"/>
          <w:lang w:val="en-US"/>
        </w:rPr>
        <w:t xml:space="preserve">Mangold Fondkommission AB </w:t>
      </w:r>
      <w:r w:rsidR="00E63C58" w:rsidRPr="002F7BC7">
        <w:rPr>
          <w:rFonts w:cs="Arial"/>
          <w:bCs/>
          <w:color w:val="000000"/>
          <w:sz w:val="20"/>
          <w:szCs w:val="20"/>
          <w:lang w:val="en-US"/>
        </w:rPr>
        <w:t>opera</w:t>
      </w:r>
      <w:r w:rsidRPr="002F7BC7">
        <w:rPr>
          <w:rFonts w:cs="Arial"/>
          <w:bCs/>
          <w:color w:val="000000"/>
          <w:sz w:val="20"/>
          <w:szCs w:val="20"/>
          <w:lang w:val="en-US"/>
        </w:rPr>
        <w:t xml:space="preserve"> come Certified Adviser per </w:t>
      </w:r>
      <w:r w:rsidR="003F1A29" w:rsidRPr="002F7BC7">
        <w:rPr>
          <w:rFonts w:cs="Arial"/>
          <w:bCs/>
          <w:color w:val="000000"/>
          <w:sz w:val="20"/>
          <w:szCs w:val="20"/>
          <w:lang w:val="en-US"/>
        </w:rPr>
        <w:t xml:space="preserve">Italeaf </w:t>
      </w:r>
      <w:r w:rsidRPr="002F7BC7">
        <w:rPr>
          <w:rFonts w:cs="Arial"/>
          <w:bCs/>
          <w:color w:val="000000"/>
          <w:sz w:val="20"/>
          <w:szCs w:val="20"/>
          <w:lang w:val="en-US"/>
        </w:rPr>
        <w:t>sul mercato</w:t>
      </w:r>
      <w:r w:rsidR="003F1A29" w:rsidRPr="002F7BC7">
        <w:rPr>
          <w:rFonts w:cs="Arial"/>
          <w:bCs/>
          <w:color w:val="000000"/>
          <w:sz w:val="20"/>
          <w:szCs w:val="20"/>
          <w:lang w:val="en-US"/>
        </w:rPr>
        <w:t xml:space="preserve"> NASDAQ OMX First North. </w:t>
      </w:r>
    </w:p>
    <w:p w14:paraId="25BFE1E5" w14:textId="77777777" w:rsidR="003F1A29" w:rsidRPr="0037442B" w:rsidRDefault="00CC7625" w:rsidP="0074178D">
      <w:pPr>
        <w:spacing w:after="0"/>
        <w:rPr>
          <w:color w:val="333333"/>
          <w:sz w:val="20"/>
          <w:szCs w:val="20"/>
          <w:shd w:val="clear" w:color="auto" w:fill="FFFFFF"/>
          <w:lang w:val="it-IT"/>
        </w:rPr>
      </w:pPr>
      <w:r w:rsidRPr="0037442B">
        <w:rPr>
          <w:rFonts w:cs="Arial"/>
          <w:b/>
          <w:bCs/>
          <w:color w:val="000000"/>
          <w:sz w:val="20"/>
          <w:szCs w:val="20"/>
          <w:lang w:val="it-IT"/>
        </w:rPr>
        <w:t>Per maggiori informazioni</w:t>
      </w:r>
      <w:r w:rsidR="003F1A29" w:rsidRPr="0037442B">
        <w:rPr>
          <w:rFonts w:cs="Arial"/>
          <w:b/>
          <w:bCs/>
          <w:color w:val="000000"/>
          <w:sz w:val="20"/>
          <w:szCs w:val="20"/>
          <w:lang w:val="it-IT"/>
        </w:rPr>
        <w:t>:</w:t>
      </w:r>
      <w:r w:rsidR="003F1A29" w:rsidRPr="0037442B">
        <w:rPr>
          <w:rStyle w:val="apple-converted-space"/>
          <w:b/>
          <w:color w:val="333333"/>
          <w:sz w:val="20"/>
          <w:szCs w:val="20"/>
          <w:shd w:val="clear" w:color="auto" w:fill="FFFFFF"/>
          <w:lang w:val="it-IT"/>
        </w:rPr>
        <w:t> </w:t>
      </w:r>
      <w:r w:rsidR="003F1A29" w:rsidRPr="0037442B">
        <w:rPr>
          <w:color w:val="333333"/>
          <w:sz w:val="20"/>
          <w:szCs w:val="20"/>
          <w:lang w:val="it-IT"/>
        </w:rPr>
        <w:br/>
      </w:r>
      <w:r w:rsidR="003F1A29" w:rsidRPr="0037442B">
        <w:rPr>
          <w:color w:val="333333"/>
          <w:sz w:val="20"/>
          <w:szCs w:val="20"/>
          <w:shd w:val="clear" w:color="auto" w:fill="FFFFFF"/>
          <w:lang w:val="it-IT"/>
        </w:rPr>
        <w:t>Filippo Calisti</w:t>
      </w:r>
    </w:p>
    <w:p w14:paraId="4D49E1E3" w14:textId="77777777" w:rsidR="003F1A29" w:rsidRPr="0037442B" w:rsidRDefault="003F1A29" w:rsidP="0074178D">
      <w:pPr>
        <w:spacing w:after="0"/>
        <w:rPr>
          <w:color w:val="333333"/>
          <w:sz w:val="20"/>
          <w:szCs w:val="20"/>
          <w:shd w:val="clear" w:color="auto" w:fill="FFFFFF"/>
          <w:lang w:val="it-IT"/>
        </w:rPr>
      </w:pPr>
      <w:r w:rsidRPr="0037442B">
        <w:rPr>
          <w:color w:val="333333"/>
          <w:sz w:val="20"/>
          <w:szCs w:val="20"/>
          <w:shd w:val="clear" w:color="auto" w:fill="FFFFFF"/>
          <w:lang w:val="it-IT"/>
        </w:rPr>
        <w:t>CFO – Italeaf S.p.A.</w:t>
      </w:r>
    </w:p>
    <w:p w14:paraId="266B972F" w14:textId="77777777" w:rsidR="003F1A29" w:rsidRPr="0037442B" w:rsidRDefault="003F1A29" w:rsidP="0074178D">
      <w:pPr>
        <w:spacing w:after="0"/>
        <w:rPr>
          <w:rStyle w:val="Collegamentoipertestuale"/>
          <w:color w:val="333333"/>
          <w:sz w:val="20"/>
          <w:szCs w:val="20"/>
          <w:shd w:val="clear" w:color="auto" w:fill="FFFFFF"/>
          <w:lang w:val="it-IT"/>
        </w:rPr>
      </w:pPr>
      <w:r w:rsidRPr="0037442B">
        <w:rPr>
          <w:color w:val="333333"/>
          <w:sz w:val="20"/>
          <w:szCs w:val="20"/>
          <w:shd w:val="clear" w:color="auto" w:fill="FFFFFF"/>
          <w:lang w:val="it-IT"/>
        </w:rPr>
        <w:t xml:space="preserve">E-mail: </w:t>
      </w:r>
      <w:hyperlink r:id="rId9" w:history="1">
        <w:r w:rsidRPr="0037442B">
          <w:rPr>
            <w:rStyle w:val="Collegamentoipertestuale"/>
            <w:sz w:val="20"/>
            <w:szCs w:val="20"/>
            <w:shd w:val="clear" w:color="auto" w:fill="FFFFFF"/>
            <w:lang w:val="it-IT"/>
          </w:rPr>
          <w:t>calisti@italeaf.com</w:t>
        </w:r>
      </w:hyperlink>
      <w:r w:rsidRPr="0037442B">
        <w:rPr>
          <w:color w:val="333333"/>
          <w:sz w:val="20"/>
          <w:szCs w:val="20"/>
          <w:shd w:val="clear" w:color="auto" w:fill="FFFFFF"/>
          <w:lang w:val="it-IT"/>
        </w:rPr>
        <w:t xml:space="preserve"> </w:t>
      </w:r>
    </w:p>
    <w:p w14:paraId="0893B820" w14:textId="77777777" w:rsidR="003F1A29" w:rsidRPr="0037442B" w:rsidRDefault="003F1A29" w:rsidP="0074178D">
      <w:pPr>
        <w:spacing w:after="0"/>
        <w:rPr>
          <w:color w:val="333333"/>
          <w:sz w:val="20"/>
          <w:szCs w:val="20"/>
          <w:shd w:val="clear" w:color="auto" w:fill="FFFFFF"/>
          <w:lang w:val="it-IT"/>
        </w:rPr>
      </w:pPr>
    </w:p>
    <w:p w14:paraId="260B5322" w14:textId="77777777" w:rsidR="003F1A29" w:rsidRPr="0037442B" w:rsidRDefault="003F1A29" w:rsidP="0074178D">
      <w:pPr>
        <w:spacing w:after="0"/>
        <w:rPr>
          <w:color w:val="333333"/>
          <w:sz w:val="20"/>
          <w:szCs w:val="20"/>
          <w:shd w:val="clear" w:color="auto" w:fill="FFFFFF"/>
          <w:lang w:val="it-IT"/>
        </w:rPr>
      </w:pPr>
      <w:r w:rsidRPr="0037442B">
        <w:rPr>
          <w:color w:val="333333"/>
          <w:sz w:val="20"/>
          <w:szCs w:val="20"/>
          <w:shd w:val="clear" w:color="auto" w:fill="FFFFFF"/>
          <w:lang w:val="it-IT"/>
        </w:rPr>
        <w:t xml:space="preserve">Mangold Fondkommission AB </w:t>
      </w:r>
    </w:p>
    <w:p w14:paraId="1B80F8F9" w14:textId="77777777" w:rsidR="003F1A29" w:rsidRPr="002F7BC7" w:rsidRDefault="003F1A29" w:rsidP="0074178D">
      <w:pPr>
        <w:spacing w:after="0"/>
        <w:rPr>
          <w:color w:val="333333"/>
          <w:sz w:val="20"/>
          <w:szCs w:val="20"/>
          <w:shd w:val="clear" w:color="auto" w:fill="FFFFFF"/>
          <w:lang w:val="it-IT"/>
        </w:rPr>
      </w:pPr>
      <w:r w:rsidRPr="002F7BC7">
        <w:rPr>
          <w:color w:val="333333"/>
          <w:sz w:val="20"/>
          <w:szCs w:val="20"/>
          <w:shd w:val="clear" w:color="auto" w:fill="FFFFFF"/>
          <w:lang w:val="it-IT"/>
        </w:rPr>
        <w:t>Tel. +46 (0)8 5030 1550</w:t>
      </w:r>
    </w:p>
    <w:p w14:paraId="3DDC3615" w14:textId="77777777" w:rsidR="003F1A29" w:rsidRPr="002F7BC7" w:rsidRDefault="003E0179" w:rsidP="0074178D">
      <w:pPr>
        <w:spacing w:after="0"/>
        <w:rPr>
          <w:color w:val="333333"/>
          <w:sz w:val="20"/>
          <w:szCs w:val="20"/>
          <w:shd w:val="clear" w:color="auto" w:fill="FFFFFF"/>
          <w:lang w:val="it-IT"/>
        </w:rPr>
      </w:pPr>
      <w:hyperlink r:id="rId10" w:history="1">
        <w:r w:rsidR="003F1A29" w:rsidRPr="002F7BC7">
          <w:rPr>
            <w:rStyle w:val="Collegamentoipertestuale"/>
            <w:sz w:val="20"/>
            <w:szCs w:val="20"/>
            <w:shd w:val="clear" w:color="auto" w:fill="FFFFFF"/>
            <w:lang w:val="it-IT"/>
          </w:rPr>
          <w:t>info@mangold.se</w:t>
        </w:r>
      </w:hyperlink>
      <w:r w:rsidR="003F1A29" w:rsidRPr="002F7BC7">
        <w:rPr>
          <w:color w:val="333333"/>
          <w:sz w:val="20"/>
          <w:szCs w:val="20"/>
          <w:shd w:val="clear" w:color="auto" w:fill="FFFFFF"/>
          <w:lang w:val="it-IT"/>
        </w:rPr>
        <w:t xml:space="preserve"> </w:t>
      </w:r>
    </w:p>
    <w:p w14:paraId="4413A45D" w14:textId="77777777" w:rsidR="006B7E37" w:rsidRDefault="006B7E37" w:rsidP="0074178D">
      <w:pPr>
        <w:spacing w:after="0" w:line="240" w:lineRule="auto"/>
        <w:rPr>
          <w:b/>
          <w:i/>
          <w:sz w:val="18"/>
          <w:szCs w:val="18"/>
          <w:lang w:val="it-IT"/>
        </w:rPr>
      </w:pPr>
    </w:p>
    <w:p w14:paraId="40954A5E" w14:textId="77777777" w:rsidR="00CC7625" w:rsidRPr="006B7E37" w:rsidRDefault="00CC7625" w:rsidP="007A6986">
      <w:pPr>
        <w:spacing w:after="0" w:line="240" w:lineRule="auto"/>
        <w:jc w:val="both"/>
        <w:rPr>
          <w:i/>
          <w:sz w:val="18"/>
          <w:szCs w:val="18"/>
          <w:lang w:val="it-IT"/>
        </w:rPr>
      </w:pPr>
      <w:r w:rsidRPr="006B7E37">
        <w:rPr>
          <w:b/>
          <w:i/>
          <w:sz w:val="18"/>
          <w:szCs w:val="18"/>
          <w:lang w:val="it-IT"/>
        </w:rPr>
        <w:t>Italeaf</w:t>
      </w:r>
      <w:r w:rsidRPr="006B7E37">
        <w:rPr>
          <w:i/>
          <w:sz w:val="18"/>
          <w:szCs w:val="18"/>
          <w:lang w:val="it-IT"/>
        </w:rPr>
        <w:t xml:space="preserve"> S.p.A., costituita nel dicembre 2010, è una holding di partecipazione e un acceleratore di business per imprese e startup nei settori dell’innovazione e del cleantech. Italeaf opera come company builder, promuovendo la nascita e lo sviluppo di startup industriali nei settori cleantech, smart energy e dell’innovazione tecnologica.</w:t>
      </w:r>
    </w:p>
    <w:p w14:paraId="3A52D609" w14:textId="77777777" w:rsidR="00CC7625" w:rsidRDefault="00CC7625" w:rsidP="007A6986">
      <w:pPr>
        <w:spacing w:after="0" w:line="240" w:lineRule="auto"/>
        <w:jc w:val="both"/>
        <w:rPr>
          <w:i/>
          <w:sz w:val="18"/>
          <w:szCs w:val="18"/>
          <w:lang w:val="it-IT"/>
        </w:rPr>
      </w:pPr>
      <w:r w:rsidRPr="006B7E37">
        <w:rPr>
          <w:i/>
          <w:sz w:val="18"/>
          <w:szCs w:val="18"/>
          <w:lang w:val="it-IT"/>
        </w:rPr>
        <w:t>Italeaf ha sedi operative in Umbria a Terni e Nera Montoro nel Comune di Narni, a Milano e Lecce; ha filiali internazionali a Londra e a Hong Kong</w:t>
      </w:r>
      <w:r w:rsidR="006D75FF" w:rsidRPr="006B7E37">
        <w:rPr>
          <w:i/>
          <w:sz w:val="18"/>
          <w:szCs w:val="18"/>
          <w:lang w:val="it-IT"/>
        </w:rPr>
        <w:t xml:space="preserve"> ed un centro di ricerca localizzato all’interno dell’Hong Kong Science and Technology Park</w:t>
      </w:r>
      <w:r w:rsidRPr="006B7E37">
        <w:rPr>
          <w:i/>
          <w:sz w:val="18"/>
          <w:szCs w:val="18"/>
          <w:lang w:val="it-IT"/>
        </w:rPr>
        <w:t xml:space="preserve">. La società controlla TerniEnergia, </w:t>
      </w:r>
      <w:r w:rsidR="00CF19A0">
        <w:rPr>
          <w:i/>
          <w:sz w:val="18"/>
          <w:szCs w:val="18"/>
          <w:lang w:val="it-IT"/>
        </w:rPr>
        <w:t xml:space="preserve">smart energy company </w:t>
      </w:r>
      <w:r w:rsidRPr="006B7E37">
        <w:rPr>
          <w:i/>
          <w:sz w:val="18"/>
          <w:szCs w:val="18"/>
          <w:lang w:val="it-IT"/>
        </w:rPr>
        <w:t>quotata sul segmento STAR di Borsa Italiana e attiva nei settori delle energie rinnovabili, dell’efficienza energetica e del waste</w:t>
      </w:r>
      <w:r w:rsidR="00CF19A0">
        <w:rPr>
          <w:i/>
          <w:sz w:val="18"/>
          <w:szCs w:val="18"/>
          <w:lang w:val="it-IT"/>
        </w:rPr>
        <w:t xml:space="preserve"> ed energy</w:t>
      </w:r>
      <w:r w:rsidRPr="006B7E37">
        <w:rPr>
          <w:i/>
          <w:sz w:val="18"/>
          <w:szCs w:val="18"/>
          <w:lang w:val="it-IT"/>
        </w:rPr>
        <w:t xml:space="preserve"> management, Greenled Industry, operante nello sviluppo e produzione di lampade Led di potenza per l’efficienza energetica industriale e per la pubblica illuminazione, WiSave nel settore “internet of things” per lo sviluppo e la produzione di termostati intelligenti e tecnologie per il telecontrollo remoto degli impianti elettrici e termici degli edifici gestiti su infrastruttura cloud, e Skyrobotic, azienda di sviluppo e produzione di droni civili e commerciali nelle classi mini e micro per il mercato professionale.</w:t>
      </w:r>
    </w:p>
    <w:p w14:paraId="16E9E19A" w14:textId="77777777" w:rsidR="00EB6747" w:rsidRDefault="00EB6747" w:rsidP="00EB6747">
      <w:pPr>
        <w:spacing w:after="0" w:line="240" w:lineRule="auto"/>
        <w:rPr>
          <w:i/>
          <w:sz w:val="18"/>
          <w:szCs w:val="18"/>
          <w:lang w:val="it-IT"/>
        </w:rPr>
      </w:pPr>
    </w:p>
    <w:p w14:paraId="25808B9E" w14:textId="77777777" w:rsidR="007A6986" w:rsidRDefault="007A6986" w:rsidP="00EB6747">
      <w:pPr>
        <w:spacing w:after="0" w:line="240" w:lineRule="auto"/>
        <w:rPr>
          <w:i/>
          <w:sz w:val="18"/>
          <w:szCs w:val="18"/>
          <w:lang w:val="it-IT"/>
        </w:rPr>
      </w:pPr>
    </w:p>
    <w:sectPr w:rsidR="007A6986" w:rsidSect="006B7E37">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B3A8F" w14:textId="77777777" w:rsidR="00536B89" w:rsidRDefault="00536B89" w:rsidP="00E950F6">
      <w:pPr>
        <w:spacing w:after="0" w:line="240" w:lineRule="auto"/>
      </w:pPr>
      <w:r>
        <w:separator/>
      </w:r>
    </w:p>
  </w:endnote>
  <w:endnote w:type="continuationSeparator" w:id="0">
    <w:p w14:paraId="6FB59BC2" w14:textId="77777777" w:rsidR="00536B89" w:rsidRDefault="00536B89" w:rsidP="00E9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544ED" w14:textId="77777777" w:rsidR="00536B89" w:rsidRDefault="00536B89" w:rsidP="00E950F6">
      <w:pPr>
        <w:spacing w:after="0" w:line="240" w:lineRule="auto"/>
      </w:pPr>
      <w:r>
        <w:separator/>
      </w:r>
    </w:p>
  </w:footnote>
  <w:footnote w:type="continuationSeparator" w:id="0">
    <w:p w14:paraId="2E81B280" w14:textId="77777777" w:rsidR="00536B89" w:rsidRDefault="00536B89" w:rsidP="00E95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3B14"/>
    <w:multiLevelType w:val="hybridMultilevel"/>
    <w:tmpl w:val="274AC6BC"/>
    <w:lvl w:ilvl="0" w:tplc="2D4AD0BA">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FF1AF6"/>
    <w:multiLevelType w:val="hybridMultilevel"/>
    <w:tmpl w:val="F848A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2A4721"/>
    <w:multiLevelType w:val="hybridMultilevel"/>
    <w:tmpl w:val="01A20B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0511A8"/>
    <w:multiLevelType w:val="hybridMultilevel"/>
    <w:tmpl w:val="0374E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E91814"/>
    <w:multiLevelType w:val="hybridMultilevel"/>
    <w:tmpl w:val="B4103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821605"/>
    <w:multiLevelType w:val="hybridMultilevel"/>
    <w:tmpl w:val="C1CE9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B73071"/>
    <w:multiLevelType w:val="hybridMultilevel"/>
    <w:tmpl w:val="34FAE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647876"/>
    <w:multiLevelType w:val="hybridMultilevel"/>
    <w:tmpl w:val="2CCA9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E909D3"/>
    <w:multiLevelType w:val="multilevel"/>
    <w:tmpl w:val="4CB09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6E5F8D"/>
    <w:multiLevelType w:val="multilevel"/>
    <w:tmpl w:val="BA4A5FDA"/>
    <w:lvl w:ilvl="0">
      <w:start w:val="1"/>
      <w:numFmt w:val="bullet"/>
      <w:lvlText w:val=""/>
      <w:lvlJc w:val="left"/>
      <w:pPr>
        <w:tabs>
          <w:tab w:val="num" w:pos="720"/>
        </w:tabs>
        <w:ind w:left="720" w:hanging="360"/>
      </w:pPr>
      <w:rPr>
        <w:rFonts w:ascii="Symbol" w:hAnsi="Symbol" w:hint="default"/>
        <w:color w:val="003366"/>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A8679F"/>
    <w:multiLevelType w:val="hybridMultilevel"/>
    <w:tmpl w:val="3648D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240467"/>
    <w:multiLevelType w:val="hybridMultilevel"/>
    <w:tmpl w:val="2DC43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7B4986"/>
    <w:multiLevelType w:val="hybridMultilevel"/>
    <w:tmpl w:val="C1AEE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874EFE"/>
    <w:multiLevelType w:val="hybridMultilevel"/>
    <w:tmpl w:val="40927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972D36"/>
    <w:multiLevelType w:val="hybridMultilevel"/>
    <w:tmpl w:val="6AB65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5C6A04"/>
    <w:multiLevelType w:val="hybridMultilevel"/>
    <w:tmpl w:val="D77A0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7960610"/>
    <w:multiLevelType w:val="hybridMultilevel"/>
    <w:tmpl w:val="7C788EFC"/>
    <w:lvl w:ilvl="0" w:tplc="FF52A852">
      <w:start w:val="1"/>
      <w:numFmt w:val="bullet"/>
      <w:lvlText w:val=""/>
      <w:lvlJc w:val="left"/>
      <w:pPr>
        <w:ind w:left="720" w:hanging="360"/>
      </w:pPr>
      <w:rPr>
        <w:rFonts w:ascii="Symbol" w:hAnsi="Symbol" w:hint="default"/>
        <w:color w:val="0033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CA7792D"/>
    <w:multiLevelType w:val="hybridMultilevel"/>
    <w:tmpl w:val="140ED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
  </w:num>
  <w:num w:numId="4">
    <w:abstractNumId w:val="4"/>
  </w:num>
  <w:num w:numId="5">
    <w:abstractNumId w:val="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6"/>
  </w:num>
  <w:num w:numId="9">
    <w:abstractNumId w:val="1"/>
  </w:num>
  <w:num w:numId="10">
    <w:abstractNumId w:val="5"/>
  </w:num>
  <w:num w:numId="11">
    <w:abstractNumId w:val="15"/>
  </w:num>
  <w:num w:numId="12">
    <w:abstractNumId w:val="8"/>
  </w:num>
  <w:num w:numId="13">
    <w:abstractNumId w:val="6"/>
  </w:num>
  <w:num w:numId="14">
    <w:abstractNumId w:val="11"/>
  </w:num>
  <w:num w:numId="15">
    <w:abstractNumId w:val="14"/>
  </w:num>
  <w:num w:numId="16">
    <w:abstractNumId w:val="10"/>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29"/>
    <w:rsid w:val="00007F88"/>
    <w:rsid w:val="00105C51"/>
    <w:rsid w:val="001075FF"/>
    <w:rsid w:val="00107AA9"/>
    <w:rsid w:val="001248C6"/>
    <w:rsid w:val="00161731"/>
    <w:rsid w:val="00185515"/>
    <w:rsid w:val="00187187"/>
    <w:rsid w:val="00195D14"/>
    <w:rsid w:val="001A6AD6"/>
    <w:rsid w:val="001C065D"/>
    <w:rsid w:val="001D377C"/>
    <w:rsid w:val="001D7C3E"/>
    <w:rsid w:val="00214D08"/>
    <w:rsid w:val="00222F38"/>
    <w:rsid w:val="002B6282"/>
    <w:rsid w:val="002C633A"/>
    <w:rsid w:val="002F7BC7"/>
    <w:rsid w:val="0037442B"/>
    <w:rsid w:val="003E0179"/>
    <w:rsid w:val="003F1A29"/>
    <w:rsid w:val="00424140"/>
    <w:rsid w:val="00497DC9"/>
    <w:rsid w:val="004C37B3"/>
    <w:rsid w:val="004F57B0"/>
    <w:rsid w:val="00536B89"/>
    <w:rsid w:val="005371A9"/>
    <w:rsid w:val="005A1F7F"/>
    <w:rsid w:val="005B0872"/>
    <w:rsid w:val="006069A3"/>
    <w:rsid w:val="00616DE5"/>
    <w:rsid w:val="00646EFF"/>
    <w:rsid w:val="00682131"/>
    <w:rsid w:val="006939CD"/>
    <w:rsid w:val="006B7E37"/>
    <w:rsid w:val="006C09C5"/>
    <w:rsid w:val="006D75FF"/>
    <w:rsid w:val="00706468"/>
    <w:rsid w:val="0074178D"/>
    <w:rsid w:val="00742940"/>
    <w:rsid w:val="007A4601"/>
    <w:rsid w:val="007A6986"/>
    <w:rsid w:val="007E22A4"/>
    <w:rsid w:val="008373FB"/>
    <w:rsid w:val="008A63CB"/>
    <w:rsid w:val="009A0BC5"/>
    <w:rsid w:val="009E3C29"/>
    <w:rsid w:val="00A151FB"/>
    <w:rsid w:val="00A35361"/>
    <w:rsid w:val="00A54082"/>
    <w:rsid w:val="00A60A3B"/>
    <w:rsid w:val="00A70B85"/>
    <w:rsid w:val="00A85B90"/>
    <w:rsid w:val="00B078BB"/>
    <w:rsid w:val="00B215DE"/>
    <w:rsid w:val="00B30D8E"/>
    <w:rsid w:val="00C05FA2"/>
    <w:rsid w:val="00C272E7"/>
    <w:rsid w:val="00CC7625"/>
    <w:rsid w:val="00CF19A0"/>
    <w:rsid w:val="00D94975"/>
    <w:rsid w:val="00DB15A7"/>
    <w:rsid w:val="00DB3509"/>
    <w:rsid w:val="00DF34CA"/>
    <w:rsid w:val="00E05E7B"/>
    <w:rsid w:val="00E63C58"/>
    <w:rsid w:val="00E71E30"/>
    <w:rsid w:val="00E75D6C"/>
    <w:rsid w:val="00E950F6"/>
    <w:rsid w:val="00EB6747"/>
    <w:rsid w:val="00F43BB5"/>
    <w:rsid w:val="00FF3BE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5136"/>
  <w15:chartTrackingRefBased/>
  <w15:docId w15:val="{C68AAF1F-BDAB-48D2-9A52-7FC4ECD0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1A29"/>
    <w:pPr>
      <w:spacing w:after="200" w:line="276" w:lineRule="auto"/>
    </w:pPr>
    <w:rPr>
      <w:lang w:val="sv-S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F1A29"/>
    <w:pPr>
      <w:autoSpaceDE w:val="0"/>
      <w:autoSpaceDN w:val="0"/>
      <w:adjustRightInd w:val="0"/>
      <w:spacing w:after="0" w:line="240" w:lineRule="auto"/>
    </w:pPr>
    <w:rPr>
      <w:rFonts w:ascii="Arial" w:hAnsi="Arial" w:cs="Arial"/>
      <w:color w:val="000000"/>
      <w:sz w:val="24"/>
      <w:szCs w:val="24"/>
      <w:lang w:val="sv-SE"/>
    </w:rPr>
  </w:style>
  <w:style w:type="character" w:customStyle="1" w:styleId="apple-converted-space">
    <w:name w:val="apple-converted-space"/>
    <w:basedOn w:val="Carpredefinitoparagrafo"/>
    <w:rsid w:val="003F1A29"/>
  </w:style>
  <w:style w:type="character" w:styleId="Collegamentoipertestuale">
    <w:name w:val="Hyperlink"/>
    <w:basedOn w:val="Carpredefinitoparagrafo"/>
    <w:uiPriority w:val="99"/>
    <w:unhideWhenUsed/>
    <w:rsid w:val="003F1A29"/>
    <w:rPr>
      <w:color w:val="0000FF"/>
      <w:u w:val="single"/>
    </w:rPr>
  </w:style>
  <w:style w:type="paragraph" w:styleId="Paragrafoelenco">
    <w:name w:val="List Paragraph"/>
    <w:basedOn w:val="Normale"/>
    <w:uiPriority w:val="99"/>
    <w:qFormat/>
    <w:rsid w:val="00A151FB"/>
    <w:pPr>
      <w:ind w:left="720"/>
      <w:contextualSpacing/>
    </w:pPr>
  </w:style>
  <w:style w:type="paragraph" w:customStyle="1" w:styleId="WPNormal">
    <w:name w:val="WP_Normal"/>
    <w:basedOn w:val="Normale"/>
    <w:uiPriority w:val="99"/>
    <w:rsid w:val="007A4601"/>
    <w:pPr>
      <w:widowControl w:val="0"/>
      <w:autoSpaceDE w:val="0"/>
      <w:autoSpaceDN w:val="0"/>
      <w:spacing w:after="0" w:line="240" w:lineRule="auto"/>
    </w:pPr>
    <w:rPr>
      <w:rFonts w:ascii="Chicago" w:eastAsia="Times New Roman" w:hAnsi="Chicago" w:cs="Chicago"/>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364">
      <w:bodyDiv w:val="1"/>
      <w:marLeft w:val="0"/>
      <w:marRight w:val="0"/>
      <w:marTop w:val="0"/>
      <w:marBottom w:val="0"/>
      <w:divBdr>
        <w:top w:val="none" w:sz="0" w:space="0" w:color="auto"/>
        <w:left w:val="none" w:sz="0" w:space="0" w:color="auto"/>
        <w:bottom w:val="none" w:sz="0" w:space="0" w:color="auto"/>
        <w:right w:val="none" w:sz="0" w:space="0" w:color="auto"/>
      </w:divBdr>
    </w:div>
    <w:div w:id="359207699">
      <w:bodyDiv w:val="1"/>
      <w:marLeft w:val="0"/>
      <w:marRight w:val="0"/>
      <w:marTop w:val="0"/>
      <w:marBottom w:val="0"/>
      <w:divBdr>
        <w:top w:val="none" w:sz="0" w:space="0" w:color="auto"/>
        <w:left w:val="none" w:sz="0" w:space="0" w:color="auto"/>
        <w:bottom w:val="none" w:sz="0" w:space="0" w:color="auto"/>
        <w:right w:val="none" w:sz="0" w:space="0" w:color="auto"/>
      </w:divBdr>
    </w:div>
    <w:div w:id="373774574">
      <w:bodyDiv w:val="1"/>
      <w:marLeft w:val="0"/>
      <w:marRight w:val="0"/>
      <w:marTop w:val="0"/>
      <w:marBottom w:val="0"/>
      <w:divBdr>
        <w:top w:val="none" w:sz="0" w:space="0" w:color="auto"/>
        <w:left w:val="none" w:sz="0" w:space="0" w:color="auto"/>
        <w:bottom w:val="none" w:sz="0" w:space="0" w:color="auto"/>
        <w:right w:val="none" w:sz="0" w:space="0" w:color="auto"/>
      </w:divBdr>
    </w:div>
    <w:div w:id="648748705">
      <w:bodyDiv w:val="1"/>
      <w:marLeft w:val="0"/>
      <w:marRight w:val="0"/>
      <w:marTop w:val="0"/>
      <w:marBottom w:val="0"/>
      <w:divBdr>
        <w:top w:val="none" w:sz="0" w:space="0" w:color="auto"/>
        <w:left w:val="none" w:sz="0" w:space="0" w:color="auto"/>
        <w:bottom w:val="none" w:sz="0" w:space="0" w:color="auto"/>
        <w:right w:val="none" w:sz="0" w:space="0" w:color="auto"/>
      </w:divBdr>
    </w:div>
    <w:div w:id="673847706">
      <w:bodyDiv w:val="1"/>
      <w:marLeft w:val="0"/>
      <w:marRight w:val="0"/>
      <w:marTop w:val="0"/>
      <w:marBottom w:val="0"/>
      <w:divBdr>
        <w:top w:val="none" w:sz="0" w:space="0" w:color="auto"/>
        <w:left w:val="none" w:sz="0" w:space="0" w:color="auto"/>
        <w:bottom w:val="none" w:sz="0" w:space="0" w:color="auto"/>
        <w:right w:val="none" w:sz="0" w:space="0" w:color="auto"/>
      </w:divBdr>
    </w:div>
    <w:div w:id="893925466">
      <w:bodyDiv w:val="1"/>
      <w:marLeft w:val="0"/>
      <w:marRight w:val="0"/>
      <w:marTop w:val="0"/>
      <w:marBottom w:val="0"/>
      <w:divBdr>
        <w:top w:val="none" w:sz="0" w:space="0" w:color="auto"/>
        <w:left w:val="none" w:sz="0" w:space="0" w:color="auto"/>
        <w:bottom w:val="none" w:sz="0" w:space="0" w:color="auto"/>
        <w:right w:val="none" w:sz="0" w:space="0" w:color="auto"/>
      </w:divBdr>
    </w:div>
    <w:div w:id="1742945712">
      <w:bodyDiv w:val="1"/>
      <w:marLeft w:val="0"/>
      <w:marRight w:val="0"/>
      <w:marTop w:val="0"/>
      <w:marBottom w:val="0"/>
      <w:divBdr>
        <w:top w:val="none" w:sz="0" w:space="0" w:color="auto"/>
        <w:left w:val="none" w:sz="0" w:space="0" w:color="auto"/>
        <w:bottom w:val="none" w:sz="0" w:space="0" w:color="auto"/>
        <w:right w:val="none" w:sz="0" w:space="0" w:color="auto"/>
      </w:divBdr>
    </w:div>
    <w:div w:id="1833330481">
      <w:bodyDiv w:val="1"/>
      <w:marLeft w:val="0"/>
      <w:marRight w:val="0"/>
      <w:marTop w:val="0"/>
      <w:marBottom w:val="0"/>
      <w:divBdr>
        <w:top w:val="none" w:sz="0" w:space="0" w:color="auto"/>
        <w:left w:val="none" w:sz="0" w:space="0" w:color="auto"/>
        <w:bottom w:val="none" w:sz="0" w:space="0" w:color="auto"/>
        <w:right w:val="none" w:sz="0" w:space="0" w:color="auto"/>
      </w:divBdr>
    </w:div>
    <w:div w:id="1974169793">
      <w:bodyDiv w:val="1"/>
      <w:marLeft w:val="0"/>
      <w:marRight w:val="0"/>
      <w:marTop w:val="0"/>
      <w:marBottom w:val="0"/>
      <w:divBdr>
        <w:top w:val="none" w:sz="0" w:space="0" w:color="auto"/>
        <w:left w:val="none" w:sz="0" w:space="0" w:color="auto"/>
        <w:bottom w:val="none" w:sz="0" w:space="0" w:color="auto"/>
        <w:right w:val="none" w:sz="0" w:space="0" w:color="auto"/>
      </w:divBdr>
    </w:div>
    <w:div w:id="213340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nienergia.com" TargetMode="External"/><Relationship Id="rId3" Type="http://schemas.openxmlformats.org/officeDocument/2006/relationships/settings" Target="settings.xml"/><Relationship Id="rId7" Type="http://schemas.openxmlformats.org/officeDocument/2006/relationships/hyperlink" Target="http://www.italea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mangold.se" TargetMode="External"/><Relationship Id="rId4" Type="http://schemas.openxmlformats.org/officeDocument/2006/relationships/webSettings" Target="webSettings.xml"/><Relationship Id="rId9" Type="http://schemas.openxmlformats.org/officeDocument/2006/relationships/hyperlink" Target="mailto:calisti@italeaf.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937</Words>
  <Characters>5347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Zacaglioni</dc:creator>
  <cp:keywords/>
  <dc:description/>
  <cp:lastModifiedBy>Cristiano Manzoni</cp:lastModifiedBy>
  <cp:revision>7</cp:revision>
  <cp:lastPrinted>2015-03-12T08:57:00Z</cp:lastPrinted>
  <dcterms:created xsi:type="dcterms:W3CDTF">2015-11-30T09:05:00Z</dcterms:created>
  <dcterms:modified xsi:type="dcterms:W3CDTF">2015-12-01T11:12:00Z</dcterms:modified>
</cp:coreProperties>
</file>